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B7" w:rsidRPr="00345D74" w:rsidRDefault="00606EB7" w:rsidP="00606EB7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606EB7" w:rsidRPr="00345D74" w:rsidRDefault="00606EB7" w:rsidP="00606EB7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по расчету показателей независимой оценки качества образовательной деятельности организаций, осуществляющих образовательную деятельность</w:t>
      </w:r>
    </w:p>
    <w:p w:rsidR="00606EB7" w:rsidRPr="00345D74" w:rsidRDefault="00606EB7" w:rsidP="00606EB7">
      <w:pPr>
        <w:spacing w:after="140" w:line="240" w:lineRule="auto"/>
        <w:jc w:val="both"/>
      </w:pPr>
    </w:p>
    <w:p w:rsidR="00606EB7" w:rsidRPr="00345D74" w:rsidRDefault="00606EB7" w:rsidP="00606EB7">
      <w:pPr>
        <w:pStyle w:val="1"/>
      </w:pPr>
      <w:r w:rsidRPr="00345D74">
        <w:t xml:space="preserve">1. Общие </w:t>
      </w:r>
      <w:r w:rsidRPr="008D3B79">
        <w:t>положения</w:t>
      </w:r>
    </w:p>
    <w:p w:rsidR="00606EB7" w:rsidRPr="00345D74" w:rsidRDefault="00606EB7" w:rsidP="00606EB7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gramStart"/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95.2 Федерального закона от 29 декабря 2012 г. № 273-ФЗ «Об образовании в Российской Федерации» (далее – Закон № 273) разработаны и утверждены приказом </w:t>
      </w:r>
      <w:proofErr w:type="spellStart"/>
      <w:r w:rsidRPr="00345D74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России от 5 декабря 2014 г. № 1547 (далее – приказ № 1547) показатели, характеризующие общие критерии независимой оценки качества образовательной деятельности организаций, осуществляющих образовательную деятельность» (далее – НОКО).</w:t>
      </w:r>
      <w:proofErr w:type="gramEnd"/>
    </w:p>
    <w:p w:rsidR="00606EB7" w:rsidRPr="00830F4E" w:rsidRDefault="00606EB7" w:rsidP="00830F4E">
      <w:pPr>
        <w:tabs>
          <w:tab w:val="left" w:pos="709"/>
        </w:tabs>
        <w:spacing w:after="140" w:line="240" w:lineRule="auto"/>
        <w:jc w:val="center"/>
        <w:rPr>
          <w:b/>
        </w:rPr>
      </w:pPr>
      <w:r w:rsidRPr="00830F4E">
        <w:rPr>
          <w:rFonts w:ascii="Times New Roman" w:eastAsia="Times New Roman" w:hAnsi="Times New Roman" w:cs="Times New Roman"/>
          <w:b/>
          <w:sz w:val="28"/>
          <w:szCs w:val="28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2.1. 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345D7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r w:rsidRPr="00345D74"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(в сопоставимых показателях) </w:t>
      </w:r>
    </w:p>
    <w:tbl>
      <w:tblPr>
        <w:tblStyle w:val="9"/>
        <w:tblW w:w="49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7558"/>
        <w:gridCol w:w="1889"/>
      </w:tblGrid>
      <w:tr w:rsidR="00606EB7" w:rsidRPr="00A449D8" w:rsidTr="000D789A">
        <w:trPr>
          <w:trHeight w:val="300"/>
          <w:tblHeader/>
        </w:trPr>
        <w:tc>
          <w:tcPr>
            <w:tcW w:w="264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89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 за позицию</w:t>
            </w: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947" w:type="pct"/>
            <w:vMerge w:val="restar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0 - ниже среднего по городу (региону)</w:t>
            </w:r>
          </w:p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1 - равно или выше среднего по городу (региону)</w:t>
            </w:r>
          </w:p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rPr>
          <w:trHeight w:val="75"/>
        </w:trPr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947" w:type="pct"/>
            <w:vMerge/>
            <w:tcBorders>
              <w:bottom w:val="single" w:sz="4" w:space="0" w:color="auto"/>
            </w:tcBorders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947" w:type="pct"/>
            <w:vMerge w:val="restart"/>
            <w:tcBorders>
              <w:top w:val="single" w:sz="4" w:space="0" w:color="auto"/>
            </w:tcBorders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– нет в наличии, не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обеспечены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есть в наличии,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обеспечены</w:t>
            </w:r>
            <w:proofErr w:type="gramEnd"/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современной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библиотеки-</w:t>
            </w:r>
            <w:proofErr w:type="spell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медиатеки</w:t>
            </w:r>
            <w:proofErr w:type="spell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rPr>
          <w:trHeight w:val="220"/>
        </w:trPr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электронных интерактивных лабораторий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лабораторным и демонстрационным оборудованием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264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947" w:type="pct"/>
            <w:vMerge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6EB7" w:rsidRPr="00A449D8" w:rsidTr="000D789A">
        <w:tc>
          <w:tcPr>
            <w:tcW w:w="40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2.2. Наличие необходимых условий для охраны и укрепления здоровья, организации питания обучающихся</w:t>
      </w:r>
    </w:p>
    <w:tbl>
      <w:tblPr>
        <w:tblStyle w:val="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58"/>
        <w:gridCol w:w="1890"/>
      </w:tblGrid>
      <w:tr w:rsidR="00606EB7" w:rsidRPr="00A449D8" w:rsidTr="000D789A">
        <w:trPr>
          <w:trHeight w:val="409"/>
        </w:trPr>
        <w:tc>
          <w:tcPr>
            <w:tcW w:w="3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22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спортивного зала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оборудованной спортивной площадки (стадиона)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тренажерного зала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бассейна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медицинского кабинета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столовой на территории организации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2.3. Условия для индивидуальной работы с </w:t>
      </w:r>
      <w:proofErr w:type="gramStart"/>
      <w:r w:rsidRPr="00345D74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</w:p>
    <w:tbl>
      <w:tblPr>
        <w:tblStyle w:val="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58"/>
        <w:gridCol w:w="1890"/>
      </w:tblGrid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22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2.4. Наличие дополнительных образовательных программ</w:t>
      </w:r>
    </w:p>
    <w:tbl>
      <w:tblPr>
        <w:tblStyle w:val="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58"/>
        <w:gridCol w:w="1890"/>
      </w:tblGrid>
      <w:tr w:rsidR="00606EB7" w:rsidRPr="00A449D8" w:rsidTr="000D789A">
        <w:tc>
          <w:tcPr>
            <w:tcW w:w="347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социально-педагогической направленности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программ технической направленности 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физкультурно-спортивной направленности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rPr>
          <w:trHeight w:val="320"/>
        </w:trPr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художественной направленности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программ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 туристско-краеведческой направленности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дополнительных (авторских) образовательных программ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Style w:val="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7511"/>
        <w:gridCol w:w="1962"/>
      </w:tblGrid>
      <w:tr w:rsidR="00606EB7" w:rsidRPr="00A449D8" w:rsidTr="000D789A">
        <w:tc>
          <w:tcPr>
            <w:tcW w:w="335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99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66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отчетном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из числа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образовательной организации,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победителей конкурсов, смотров и др.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мероприятиях различного уровня (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всероссийски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международны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1 баллу за каждый уровень)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вес численности обучающихся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образовательной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году</w:t>
            </w:r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 в отчетном году победителей спортивных олимпиад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различного уровня 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(по 1 баллу за каждый уровень - региональный, всероссийский, международный)</w:t>
            </w:r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335" w:type="pct"/>
          </w:tcPr>
          <w:p w:rsidR="00606EB7" w:rsidRPr="00A449D8" w:rsidRDefault="00606EB7" w:rsidP="000D789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9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сдаче норм ГТО</w:t>
            </w:r>
          </w:p>
        </w:tc>
        <w:tc>
          <w:tcPr>
            <w:tcW w:w="966" w:type="pct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40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66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2.6. Наличие возможности оказания </w:t>
      </w:r>
      <w:proofErr w:type="gramStart"/>
      <w:r w:rsidRPr="00345D74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психолого-педагогической, медицинской и социальной помощи </w:t>
      </w:r>
    </w:p>
    <w:tbl>
      <w:tblPr>
        <w:tblStyle w:val="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58"/>
        <w:gridCol w:w="1890"/>
      </w:tblGrid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22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психолого-педагогического консультирования обучающихся, их родителей (законных представителей)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, логопедической помощи обучающимся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shd w:val="clear" w:color="auto" w:fill="FFFFFF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22" w:type="pct"/>
            <w:shd w:val="clear" w:color="auto" w:fill="FFFFFF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shd w:val="clear" w:color="auto" w:fill="FFFFFF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22" w:type="pct"/>
            <w:shd w:val="clear" w:color="auto" w:fill="FFFFFF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действующих программ оказания помощи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06EB7" w:rsidRPr="00A449D8" w:rsidTr="000D789A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606EB7" w:rsidRPr="00345D74" w:rsidRDefault="00606EB7" w:rsidP="00606EB7">
      <w:pPr>
        <w:spacing w:after="140" w:line="240" w:lineRule="auto"/>
        <w:jc w:val="both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>2.7. Наличие условий организации обучения и воспитания обучающихся с ограниченными возможностями здоровья и инвалидов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558"/>
        <w:gridCol w:w="1890"/>
      </w:tblGrid>
      <w:tr w:rsidR="00606EB7" w:rsidRPr="00A449D8" w:rsidTr="000D789A">
        <w:trPr>
          <w:tblHeader/>
        </w:trPr>
        <w:tc>
          <w:tcPr>
            <w:tcW w:w="347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22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 за позицию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 здоровья 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услуг ассистента (помощника), оказывающего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необходимую техническую помощь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347" w:type="pct"/>
            <w:vAlign w:val="center"/>
          </w:tcPr>
          <w:p w:rsidR="00606EB7" w:rsidRPr="00A449D8" w:rsidRDefault="00606EB7" w:rsidP="000D789A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2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казание психологической и другой консультативной помощи </w:t>
            </w:r>
            <w:proofErr w:type="gramStart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ограниченными возможностями здоровья</w:t>
            </w:r>
          </w:p>
        </w:tc>
        <w:tc>
          <w:tcPr>
            <w:tcW w:w="931" w:type="pct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6EB7" w:rsidRPr="00A449D8" w:rsidTr="000D789A">
        <w:tc>
          <w:tcPr>
            <w:tcW w:w="40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максимальный балл</w:t>
            </w:r>
          </w:p>
        </w:tc>
        <w:tc>
          <w:tcPr>
            <w:tcW w:w="931" w:type="pct"/>
            <w:vAlign w:val="center"/>
          </w:tcPr>
          <w:p w:rsidR="00606EB7" w:rsidRPr="00A449D8" w:rsidRDefault="00606EB7" w:rsidP="000D789A">
            <w:pPr>
              <w:spacing w:after="0" w:line="240" w:lineRule="auto"/>
              <w:rPr>
                <w:sz w:val="20"/>
                <w:szCs w:val="20"/>
              </w:rPr>
            </w:pPr>
            <w:r w:rsidRPr="00A449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7A39FC" w:rsidRDefault="007A39FC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1E6AE7" w:rsidRDefault="001E6AE7" w:rsidP="00606EB7">
      <w:pPr>
        <w:spacing w:after="140" w:line="240" w:lineRule="auto"/>
        <w:jc w:val="both"/>
      </w:pPr>
    </w:p>
    <w:p w:rsidR="002001E3" w:rsidRDefault="002001E3" w:rsidP="001E6AE7">
      <w:pPr>
        <w:spacing w:after="1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01E3" w:rsidRDefault="002001E3" w:rsidP="001E6AE7">
      <w:pPr>
        <w:spacing w:after="1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01E3" w:rsidRDefault="002001E3" w:rsidP="001E6AE7">
      <w:pPr>
        <w:spacing w:after="1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01E3" w:rsidRDefault="002001E3" w:rsidP="001E6AE7">
      <w:pPr>
        <w:spacing w:after="1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6AE7" w:rsidRPr="00345D74" w:rsidRDefault="001E6AE7" w:rsidP="001E6AE7">
      <w:pPr>
        <w:spacing w:after="140" w:line="240" w:lineRule="auto"/>
        <w:jc w:val="right"/>
      </w:pPr>
      <w:bookmarkStart w:id="0" w:name="_GoBack"/>
      <w:bookmarkEnd w:id="0"/>
      <w:r w:rsidRPr="00345D74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1E6AE7" w:rsidRPr="00345D74" w:rsidRDefault="001E6AE7" w:rsidP="001E6AE7">
      <w:pPr>
        <w:spacing w:after="0" w:line="240" w:lineRule="auto"/>
        <w:jc w:val="center"/>
      </w:pPr>
      <w:r w:rsidRPr="00345D74">
        <w:rPr>
          <w:rFonts w:ascii="Times New Roman" w:eastAsia="Times New Roman" w:hAnsi="Times New Roman" w:cs="Times New Roman"/>
          <w:b/>
          <w:sz w:val="28"/>
          <w:szCs w:val="28"/>
        </w:rPr>
        <w:t>Вопросы и балльная оценка на ответы анкеты № 2</w:t>
      </w:r>
    </w:p>
    <w:p w:rsidR="001E6AE7" w:rsidRPr="00345D74" w:rsidRDefault="001E6AE7" w:rsidP="001E6AE7">
      <w:pPr>
        <w:spacing w:after="120" w:line="240" w:lineRule="auto"/>
        <w:jc w:val="center"/>
      </w:pPr>
      <w:r w:rsidRPr="00345D74">
        <w:rPr>
          <w:rFonts w:ascii="Times New Roman" w:eastAsia="Times New Roman" w:hAnsi="Times New Roman" w:cs="Times New Roman"/>
          <w:sz w:val="28"/>
          <w:szCs w:val="28"/>
        </w:rPr>
        <w:t xml:space="preserve">(размещается в открытом доступе в целях обследования мнения </w:t>
      </w:r>
      <w:r w:rsidRPr="009C5158">
        <w:rPr>
          <w:rFonts w:ascii="Times New Roman" w:eastAsia="Times New Roman" w:hAnsi="Times New Roman" w:cs="Times New Roman"/>
          <w:sz w:val="28"/>
          <w:szCs w:val="28"/>
        </w:rPr>
        <w:t>участниками образовательного процесса</w:t>
      </w:r>
      <w:r w:rsidRPr="00345D74">
        <w:rPr>
          <w:rFonts w:ascii="Times New Roman" w:eastAsia="Times New Roman" w:hAnsi="Times New Roman" w:cs="Times New Roman"/>
          <w:sz w:val="28"/>
          <w:szCs w:val="28"/>
        </w:rPr>
        <w:t>, заполняется респондентами)</w:t>
      </w:r>
    </w:p>
    <w:tbl>
      <w:tblPr>
        <w:tblStyle w:val="2"/>
        <w:tblW w:w="10632" w:type="dxa"/>
        <w:tblInd w:w="-8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64"/>
        <w:gridCol w:w="3757"/>
        <w:gridCol w:w="709"/>
        <w:gridCol w:w="5102"/>
      </w:tblGrid>
      <w:tr w:rsidR="001E6AE7" w:rsidRPr="00DE5709" w:rsidTr="001E6AE7">
        <w:trPr>
          <w:trHeight w:val="170"/>
          <w:tblHeader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Вопросы анкеты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1E6AE7" w:rsidRPr="00DE5709" w:rsidTr="001E6AE7">
        <w:trPr>
          <w:trHeight w:val="20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Открытость и доступность информации, размещенной на официальном сайте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Полнота и актуальность информации об организац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ии и ее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деятельности</w:t>
            </w:r>
          </w:p>
        </w:tc>
      </w:tr>
      <w:tr w:rsidR="001E6AE7" w:rsidRPr="00DE5709" w:rsidTr="001E6AE7">
        <w:trPr>
          <w:trHeight w:val="20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1E6AE7" w:rsidRPr="00DE5709" w:rsidTr="001E6AE7">
        <w:trPr>
          <w:trHeight w:val="20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не полностью, не структурирована, не актуальна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плохо структурирована, не актуальна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хорошо структурирована, частично не актуальна</w:t>
            </w:r>
            <w:r w:rsidRPr="00DE5709" w:rsidDel="007307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размещена полностью, хорошо структурирована, актуальна</w:t>
            </w:r>
            <w:r w:rsidRPr="00DE5709" w:rsidDel="005F2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сведений о педагогических работниках организации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отсутствует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не полностью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но со значительными недостатками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размещена полностью, размещена актуальная информация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взаимодействие с </w:t>
            </w:r>
            <w:r w:rsidRPr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участниками образовательного процесса</w:t>
            </w:r>
            <w:r w:rsidRPr="00F3156C" w:rsidDel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 обеспечено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работа телефона горячей линии, взаимодействие с </w:t>
            </w:r>
            <w:r w:rsidRPr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участниками образовательного процесса</w:t>
            </w:r>
            <w:r w:rsidRPr="00F3156C" w:rsidDel="00F315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обеспечено по электронной почте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техническая возможность проведения онлайн-опросов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ирование)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изучения мнений и получения предложений по разным направлениям 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образовательной </w:t>
            </w: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1.4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 обеспечена доступность сведений о ходе рассмотрения обращения граждан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Материально-техническое и информационное обеспечение организации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имеются бумажные средства обучения, читальные и методические кабинеты, электронные средства обучения, за исключением доступа к интернету 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1E6AE7" w:rsidRPr="00DE5709" w:rsidTr="001E6AE7">
        <w:trPr>
          <w:trHeight w:val="57"/>
        </w:trPr>
        <w:tc>
          <w:tcPr>
            <w:tcW w:w="106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для охраны и укрепления здоровья: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 условия не созданы - (отсутствует спортивный зал и спортивные площадки, столовая (буфет)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имеет только физкультурный зал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организация оборудована всеми необходимыми </w:t>
            </w: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1E6AE7" w:rsidRPr="00DE5709" w:rsidTr="001E6AE7">
        <w:trPr>
          <w:trHeight w:val="57"/>
        </w:trPr>
        <w:tc>
          <w:tcPr>
            <w:tcW w:w="1063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Условия по организации питания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обучающихся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1E6AE7" w:rsidRPr="00DE5709" w:rsidTr="001E6AE7">
        <w:trPr>
          <w:trHeight w:val="251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 условия не созданы - (отсутствует столовая (буфет))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color w:val="auto"/>
                <w:sz w:val="20"/>
                <w:szCs w:val="20"/>
              </w:rPr>
              <w:t xml:space="preserve"> </w:t>
            </w: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 организации оборудовано помещение для питания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обучающихся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Условия для индивидуальной работы с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обучающимися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организации не созданы условия для индивидуальной работы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hAnsi="Times New Roman" w:cs="Times New Roman"/>
                <w:sz w:val="20"/>
                <w:szCs w:val="20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дополнительных образовательных программ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образовательные программы не реализуются 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реализуется всего 1 дополнительная образовательная программа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реализуется 2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дополнительных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образовательных программа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реализуются 3 дополнительные образовательные программы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реализуются более 3 дополнительных образовательных программ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для развития творческих способностей не предоставлены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предоставлены условия для участия обучающихся только в спортивных мероприятиях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 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2.6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Отсутствуют условия для оказания вышеуказанных видов помощи 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вышеуказанные виды помощи оказываются некачественно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95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неудовлетворительно, не устраивает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полностью отсутствуют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плохо, не соответствует минимальным требованиям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      </w:r>
            <w:proofErr w:type="gramEnd"/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удовлетворительно, но со значительными недостатками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целом хорошо, за исключением незначительных недостатков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1E6AE7" w:rsidRPr="00DE5709" w:rsidTr="001E6AE7">
        <w:trPr>
          <w:trHeight w:val="57"/>
        </w:trPr>
        <w:tc>
          <w:tcPr>
            <w:tcW w:w="1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отлично, полностью удовлетворе</w:t>
            </w:r>
            <w:proofErr w:type="gramStart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2" w:type="dxa"/>
          </w:tcPr>
          <w:p w:rsidR="001E6AE7" w:rsidRPr="00DE5709" w:rsidRDefault="001E6AE7" w:rsidP="000D78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5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полностью соответствуют потребностям </w:t>
            </w:r>
          </w:p>
        </w:tc>
      </w:tr>
    </w:tbl>
    <w:p w:rsidR="001E6AE7" w:rsidRDefault="001E6AE7" w:rsidP="00606EB7">
      <w:pPr>
        <w:spacing w:after="140" w:line="240" w:lineRule="auto"/>
        <w:jc w:val="both"/>
      </w:pPr>
    </w:p>
    <w:sectPr w:rsidR="001E6AE7" w:rsidSect="00830F4E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B7" w:rsidRDefault="00606EB7" w:rsidP="00606EB7">
      <w:pPr>
        <w:spacing w:after="0" w:line="240" w:lineRule="auto"/>
      </w:pPr>
      <w:r>
        <w:separator/>
      </w:r>
    </w:p>
  </w:endnote>
  <w:endnote w:type="continuationSeparator" w:id="0">
    <w:p w:rsidR="00606EB7" w:rsidRDefault="00606EB7" w:rsidP="0060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B7" w:rsidRDefault="00606EB7" w:rsidP="00606EB7">
      <w:pPr>
        <w:spacing w:after="0" w:line="240" w:lineRule="auto"/>
      </w:pPr>
      <w:r>
        <w:separator/>
      </w:r>
    </w:p>
  </w:footnote>
  <w:footnote w:type="continuationSeparator" w:id="0">
    <w:p w:rsidR="00606EB7" w:rsidRDefault="00606EB7" w:rsidP="00606EB7">
      <w:pPr>
        <w:spacing w:after="0" w:line="240" w:lineRule="auto"/>
      </w:pPr>
      <w:r>
        <w:continuationSeparator/>
      </w:r>
    </w:p>
  </w:footnote>
  <w:footnote w:id="1">
    <w:p w:rsidR="00606EB7" w:rsidRPr="00AA4E99" w:rsidRDefault="00606EB7" w:rsidP="00606EB7">
      <w:pPr>
        <w:pStyle w:val="a3"/>
        <w:jc w:val="both"/>
        <w:rPr>
          <w:rFonts w:ascii="Times New Roman" w:hAnsi="Times New Roman" w:cs="Times New Roman"/>
        </w:rPr>
      </w:pPr>
      <w:r w:rsidRPr="00AA4E99">
        <w:rPr>
          <w:rStyle w:val="a5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4AE"/>
    <w:multiLevelType w:val="multilevel"/>
    <w:tmpl w:val="070231A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9E13843"/>
    <w:multiLevelType w:val="multilevel"/>
    <w:tmpl w:val="585AF2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">
    <w:nsid w:val="292D4DC4"/>
    <w:multiLevelType w:val="multilevel"/>
    <w:tmpl w:val="323A35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A1618A2"/>
    <w:multiLevelType w:val="multilevel"/>
    <w:tmpl w:val="4D702A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4">
    <w:nsid w:val="3A256EC5"/>
    <w:multiLevelType w:val="multilevel"/>
    <w:tmpl w:val="7716F65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507305A3"/>
    <w:multiLevelType w:val="multilevel"/>
    <w:tmpl w:val="C17EA6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62F7615D"/>
    <w:multiLevelType w:val="multilevel"/>
    <w:tmpl w:val="FD8EEEE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97"/>
    <w:rsid w:val="001E6AE7"/>
    <w:rsid w:val="002001E3"/>
    <w:rsid w:val="002A6B97"/>
    <w:rsid w:val="00606EB7"/>
    <w:rsid w:val="007A39FC"/>
    <w:rsid w:val="008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EB7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rsid w:val="00606EB7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EB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table" w:customStyle="1" w:styleId="9">
    <w:name w:val="9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606E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6EB7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06EB7"/>
    <w:rPr>
      <w:vertAlign w:val="superscript"/>
    </w:rPr>
  </w:style>
  <w:style w:type="table" w:customStyle="1" w:styleId="2">
    <w:name w:val="2"/>
    <w:basedOn w:val="a1"/>
    <w:rsid w:val="001E6AE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EB7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rsid w:val="00606EB7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EB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table" w:customStyle="1" w:styleId="9">
    <w:name w:val="9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a1"/>
    <w:rsid w:val="00606EB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606E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06EB7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06EB7"/>
    <w:rPr>
      <w:vertAlign w:val="superscript"/>
    </w:rPr>
  </w:style>
  <w:style w:type="table" w:customStyle="1" w:styleId="2">
    <w:name w:val="2"/>
    <w:basedOn w:val="a1"/>
    <w:rsid w:val="001E6AE7"/>
    <w:rPr>
      <w:rFonts w:ascii="Calibri" w:eastAsia="Calibri" w:hAnsi="Calibri" w:cs="Calibri"/>
      <w:color w:val="00000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2016-11-28T07:36:00Z</dcterms:created>
  <dcterms:modified xsi:type="dcterms:W3CDTF">2016-12-12T07:34:00Z</dcterms:modified>
</cp:coreProperties>
</file>